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Style w:val="2"/>
              <w:tblW w:w="5000" w:type="pct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Style w:val="2"/>
                    <w:tblW w:w="5000" w:type="pct"/>
                    <w:jc w:val="center"/>
                    <w:tblCellSpacing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附件1：采购要求</w:t>
                        </w:r>
                      </w:p>
                      <w:tbl>
                        <w:tblPr>
                          <w:tblStyle w:val="3"/>
                          <w:tblW w:w="0" w:type="auto"/>
                          <w:tblInd w:w="0" w:type="dxa"/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706"/>
                          <w:gridCol w:w="731"/>
                          <w:gridCol w:w="949"/>
                          <w:gridCol w:w="810"/>
                          <w:gridCol w:w="4934"/>
                        </w:tblGrid>
                        <w:tr>
                          <w:tblPrEx>
                            <w:tblBorders>
                              <w:top w:val="single" w:color="000000" w:themeColor="text1" w:sz="4" w:space="0"/>
                              <w:left w:val="single" w:color="000000" w:themeColor="text1" w:sz="4" w:space="0"/>
                              <w:bottom w:val="single" w:color="000000" w:themeColor="text1" w:sz="4" w:space="0"/>
                              <w:right w:val="single" w:color="000000" w:themeColor="text1" w:sz="4" w:space="0"/>
                              <w:insideH w:val="single" w:color="000000" w:themeColor="text1" w:sz="4" w:space="0"/>
                              <w:insideV w:val="single" w:color="000000" w:themeColor="text1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706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40" w:lineRule="exact"/>
                                <w:jc w:val="center"/>
                                <w:rPr>
                                  <w:rFonts w:hint="eastAsia"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  <w:t>合同包</w:t>
                              </w:r>
                            </w:p>
                          </w:tc>
                          <w:tc>
                            <w:tcPr>
                              <w:tcW w:w="731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40" w:lineRule="exact"/>
                                <w:jc w:val="center"/>
                                <w:rPr>
                                  <w:rFonts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949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40" w:lineRule="exact"/>
                                <w:jc w:val="center"/>
                                <w:rPr>
                                  <w:rFonts w:hint="eastAsia"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  <w:t>品目</w:t>
                              </w:r>
                            </w:p>
                            <w:p>
                              <w:pPr>
                                <w:widowControl/>
                                <w:spacing w:line="440" w:lineRule="exact"/>
                                <w:jc w:val="center"/>
                                <w:rPr>
                                  <w:rFonts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 w:asciiTheme="majorEastAsia" w:hAnsiTheme="majorEastAsia" w:eastAsiaTheme="majorEastAsia"/>
                                  <w:color w:val="393939"/>
                                  <w:kern w:val="0"/>
                                  <w:sz w:val="24"/>
                                  <w:szCs w:val="24"/>
                                </w:rPr>
                                <w:t>编号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00" w:lineRule="atLeast"/>
                                <w:jc w:val="center"/>
                                <w:rPr>
                                  <w:rFonts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品目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center"/>
                                <w:rPr>
                                  <w:rFonts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名称</w:t>
                              </w:r>
                            </w:p>
                          </w:tc>
                          <w:tc>
                            <w:tcPr>
                              <w:tcW w:w="4934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00" w:lineRule="atLeast"/>
                                <w:jc w:val="center"/>
                                <w:rPr>
                                  <w:rFonts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采购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center"/>
                                <w:rPr>
                                  <w:rFonts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要求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themeColor="text1" w:sz="4" w:space="0"/>
                              <w:left w:val="single" w:color="000000" w:themeColor="text1" w:sz="4" w:space="0"/>
                              <w:bottom w:val="single" w:color="000000" w:themeColor="text1" w:sz="4" w:space="0"/>
                              <w:right w:val="single" w:color="000000" w:themeColor="text1" w:sz="4" w:space="0"/>
                              <w:insideH w:val="single" w:color="000000" w:themeColor="text1" w:sz="4" w:space="0"/>
                              <w:insideV w:val="single" w:color="000000" w:themeColor="text1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674" w:hRule="atLeast"/>
                          </w:trPr>
                          <w:tc>
                            <w:tcPr>
                              <w:tcW w:w="706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40" w:lineRule="exact"/>
                                <w:jc w:val="center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1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40" w:lineRule="exact"/>
                                <w:jc w:val="center"/>
                                <w:rPr>
                                  <w:rFonts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949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00" w:lineRule="atLeast"/>
                                <w:jc w:val="center"/>
                                <w:rPr>
                                  <w:rFonts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C0599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>
                              <w:pPr>
                                <w:widowControl/>
                                <w:spacing w:line="400" w:lineRule="atLeast"/>
                                <w:jc w:val="center"/>
                                <w:rPr>
                                  <w:rFonts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 w:asciiTheme="majorEastAsia" w:hAnsiTheme="majorEastAsia" w:eastAsiaTheme="majorEastAsia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</w:rPr>
                                <w:t>消防设施维护保养</w:t>
                              </w:r>
                            </w:p>
                          </w:tc>
                          <w:tc>
                            <w:tcPr>
                              <w:tcW w:w="4934" w:type="dxa"/>
                            </w:tcPr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消防设施维护保养项目工程地点：闽南师范大学（北江滨校区）及闽南师范大学（圆山校区）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主要区域：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科技楼、图书馆、研究生公寓、达理公寓、瑞京公寓等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三、该项目承包期限为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壹 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年。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四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 xml:space="preserve">、消防设施维护保养项目及各子系统的服务范围 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一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）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消防系统的维护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保养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范围包括：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1、火灾自动报警及联动系统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2、自动喷淋系统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3、消火栓系统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4、广播及通讯系统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5、火灾照明疏散指示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6、防排烟及通风系统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7、灭火器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8、防火分隔设施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default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9、气体灭火系统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二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）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  <w:t>消防系统中各子系统的服务范围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1、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火灾自动报警及联动系统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 xml:space="preserve">①对火灾报警控制器的各功能进行试验。检查控制器自检情况，检查自动及手动状态下运作正常、打印纸是否足够及清晰。 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②对各种探测器的动作及确认灯显示进行试验。用电动点烟器等探测设备喷向探测器，检查是否红色指示灯亮，报警器发出警报及显示相应的位置，灰尘是否过多。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③对手动报警按钮的动作及确认灯显示进行试验。按下按钮，检查控制器报警相应位置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④对消火栓按钮的动作及确认灯显示进行试验。按下按钮，检查指示灯是否亮起，是否启动消火栓泵。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⑤对火灾事故广播或声光讯响器进行消防联动试验。检查广播语音是否清楚，音量是否最大。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⑥对消防专用电话进行消防通话试验。检查电话语音是否清楚。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⑦对消防水泵、风机等设备进行远程启停控制试验。检查自动时控制器远程启动水泵。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⑧对风阀、防火卷帘等控制设备进行消防联动试验。检查机构是否无生锈，阀门开启是否灵活，远程联动是否正常。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⑨对电梯进行消防紧急迫降试验。检查联动时电梯是否自动降到一层开门。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⑩对常用电源切除及应急照明点亮进行联动试验。检查联动时常用电源是否切除，应急灯是否自动点亮达90min。</w:t>
                              </w: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消火栓系统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①对消防水泵进行启停运转试验。检查手/自动启动水泵，水泵是否有渗漏，转动是否灵活。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②对系统上所有的控制阀门进行检查，保证控制阀门处于正常工作状态。阀门是否操作灵活、无泄漏。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③对消火栓进行检查，发现问题及时处理。检查外观是否破损、变形。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④对室内消火栓箱内的水枪、水带等设备进行检查。检查设备是否外观整洁，水带不发霉，水喉不渗水。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⑤抽查消火栓的出水情况，对重点部位的消火栓进行出水检查。检查水压是否达到或大于0.3MPa。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400" w:lineRule="atLeast"/>
                                <w:ind w:left="0" w:leftChars="0" w:firstLine="0" w:firstLineChars="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自动喷淋系统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 xml:space="preserve"> ①对喷淋水泵进行启停运转试验。检查手/自动启动水泵，水泵是否有渗漏，转动是否灵活。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②对水源控制阀、报警阀组进行检查，保证系统各种阀门处于工作状态。阀门是否操作灵活、无泄漏。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③对喷头进行外观检查。检查外观是否破损、变形。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④对末端试水装置进行放水试验。检查水压是否达到或大于0.1MPa，能否自动启动喷淋泵。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400" w:lineRule="atLeast"/>
                                <w:ind w:left="0" w:leftChars="0" w:firstLine="0" w:firstLineChars="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广播及通讯系统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①对各楼层广播进行测试。检查广播语音是否清楚，音量是否最大。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②对话筒及各层广播进行保养。除尘，检查线路、接线端子组件是否损坏，如有损坏用绝燃胶布包扎、更换组件。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③对各设备用房消防专用电话进行测试。检查电话语音是否清楚。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④对各消防专用电话进行保养。除尘，检查线路、接线端子组件是否损坏，如有损坏用绝燃胶布包扎、更换组件。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400" w:lineRule="atLeast"/>
                                <w:ind w:left="0" w:leftChars="0" w:firstLine="0" w:firstLineChars="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火灾照明疏散指示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 xml:space="preserve"> ①检查安全出口、疏散通道、重要场所的应急照明和疏散指示标志工作状态。检查应急照明和疏散指示标志外观整洁，是否点亮达到90min。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②试验应急照明灯和疏散指示灯切断电源后的点亮状态。检查联动时是否自动点亮应急照明灯和疏散指示灯。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400" w:lineRule="atLeast"/>
                                <w:ind w:left="0" w:leftChars="0" w:firstLine="0" w:firstLineChars="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防排烟及通风系统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①检查送风、排烟机房工作环境。检查是否干净整洁，无杂物。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②检查送风机、排烟机、电源控制柜、送风阀、排烟阀等工作状态。检查是否机构无生锈，阀门开启灵活，无灰尘。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③手动或自动打开排烟阀、启/停送风机、排烟机查看其性能。检查排烟机、送风机风量是否满足设计要求。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400" w:lineRule="atLeast"/>
                                <w:ind w:left="0" w:leftChars="0" w:firstLine="0" w:firstLineChars="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灭火器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 xml:space="preserve"> ①检查手提式灭火器压力状态，是否过保质期。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ind w:leftChars="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400" w:lineRule="atLeast"/>
                                <w:ind w:left="0" w:leftChars="0" w:firstLine="0" w:firstLineChars="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防火分隔设施</w:t>
                              </w:r>
                            </w:p>
                            <w:p>
                              <w:pPr>
                                <w:spacing w:line="440" w:lineRule="exact"/>
                                <w:ind w:firstLine="240" w:firstLineChars="100"/>
                                <w:jc w:val="left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①测试防火卷帘控制器的功能是否正常。</w:t>
                              </w:r>
                            </w:p>
                            <w:p>
                              <w:pPr>
                                <w:spacing w:line="440" w:lineRule="exact"/>
                                <w:ind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</w:t>
                              </w:r>
                              <w:r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  <w:t>检查试验卷帘导轨和转动机构（含链条）运转是否正常，检查卷帘叶片有无变形；试验防火卷帘的联动功能是否正常，降落时消防中心有无显示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440" w:lineRule="exact"/>
                                <w:ind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③</w:t>
                              </w:r>
                              <w:r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  <w:t>检查双扇防火门的关闭顺序是否正确；检查防火门的开启力度是否适中，闭门器有无漏油或松动；防火门的密封性是否良好，钢质防火门有无生锈、脱漆现象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440" w:lineRule="exact"/>
                                <w:ind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④</w:t>
                              </w:r>
                              <w:r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  <w:t>测试消防电梯的人工迫降的信号功能是否正常；测试非消防电梯迫降首层的信号和联锁信号功能是否正常；测试楼层非消防电梯自动切断功能是否正常。</w:t>
                              </w:r>
                            </w:p>
                            <w:p>
                              <w:pPr>
                                <w:spacing w:line="440" w:lineRule="exact"/>
                                <w:ind w:firstLine="240" w:firstLineChars="100"/>
                                <w:jc w:val="left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440" w:lineRule="exact"/>
                                <w:ind w:left="0" w:leftChars="0" w:firstLine="0" w:firstLineChars="0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气体灭火系统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440" w:lineRule="exact"/>
                                <w:ind w:leftChars="0"/>
                                <w:jc w:val="left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①</w:t>
                              </w:r>
                              <w:r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  <w:t>检查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  <w:t>核对灭火剂储存量与压力功能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440" w:lineRule="exact"/>
                                <w:ind w:leftChars="0"/>
                                <w:jc w:val="left"/>
                                <w:rPr>
                                  <w:rFonts w:hint="default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②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  <w:t>测试紧急启动/停止按钮的紧急功能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其他要求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、要求投标商具备独立法人资格的消防设施工程专业承包二级、建筑装修装饰工程专业承包二级的专业公司，且于福建省消防技术服务信息平台获星级消防检测资格(不显星者，不具备资格)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2、每月巡检1次，月度首次巡检需在当月4日前提供巡检报告，巡检维保报告格式需按照消防管理部门要求的填写并出具真实、有效的《维护保养记录》、《检测报告》等法律文书，且每年对消防安全工作提供评估报告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3、日常检查、检测、检修和保养，确保设施设备完好率100%、整个系统可随时正常使用。保证消防系统的正常运行。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、满足消防规范的要求；符合国家标准、行业标准、省标准和企事业单位自身的要求；及时检修消防系统中存在的故障和缺陷，做好故障排除，检查测试，保养等维保工作，确保零修合格率达到100%；在每次的维修保养工作和临时抢修工作后，应向采购人提交一份工作报告，如实记录保养工作和抢修处理方法；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5、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月度检查为外观及状况巡查；季度为系统功能性测试；如实记录检查结果，发现故障应及时修复，以确保消防系统的运行，并记录巡查过程中的全部情况。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、接到采购人故障通知后，维保人员应在5小时内到位，若遇到设备故障设备损坏接到甲方通知时，维保人员应在24小时内到位。无法急时维修处理的应按紧急故障报修程序处理，并在事后记录有关情况的全过程,并由双方代表签字确认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中标方应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提供消防法规的咨询服务，协助采购人建立健全相关规章制度和制定消防应急预案。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8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、每年进行两次消防演练。所需器材由中标人负责。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  <w:lang w:eastAsia="zh-CN"/>
                                </w:rPr>
                                <w:t>、每年进行两批次约两场次的消防知识培训；负责对采购人消控员进行现场消防设备实操培训演练，每季度不少于一次。</w:t>
                              </w:r>
                            </w:p>
                            <w:p>
                              <w:pPr>
                                <w:spacing w:line="440" w:lineRule="exact"/>
                                <w:ind w:firstLine="240" w:firstLineChars="100"/>
                                <w:jc w:val="both"/>
                                <w:rPr>
                                  <w:rFonts w:hint="default"/>
                                  <w:sz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widowControl/>
                                <w:spacing w:line="400" w:lineRule="atLeast"/>
                                <w:jc w:val="left"/>
                                <w:rPr>
                                  <w:rFonts w:hint="eastAsia" w:asciiTheme="majorEastAsia" w:hAnsiTheme="majorEastAsia" w:eastAsiaTheme="majorEastAs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附件2：合同主要条款及格式</w:t>
                  </w: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cs="Times New Roman" w:asciiTheme="majorEastAsia" w:hAnsiTheme="majorEastAsia" w:eastAsiaTheme="majorEastAsia"/>
                      <w:sz w:val="24"/>
                      <w:szCs w:val="24"/>
                    </w:rPr>
                    <w:t>附件3：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  <w:shd w:val="clear" w:color="auto" w:fill="FFFFFF"/>
                    </w:rPr>
                    <w:t>首次响应文件格式</w:t>
                  </w:r>
                </w:p>
              </w:tc>
            </w:tr>
          </w:tbl>
          <w:p>
            <w:pPr>
              <w:jc w:val="center"/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45B2D"/>
    <w:multiLevelType w:val="singleLevel"/>
    <w:tmpl w:val="C6245B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72F25F"/>
    <w:multiLevelType w:val="singleLevel"/>
    <w:tmpl w:val="1572F25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EA990A0"/>
    <w:multiLevelType w:val="singleLevel"/>
    <w:tmpl w:val="5EA990A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mJiYjViODc1MTZlNGIwODM2MmZiNTRjNDEyZjAifQ=="/>
  </w:docVars>
  <w:rsids>
    <w:rsidRoot w:val="4E2268F1"/>
    <w:rsid w:val="19CC28B3"/>
    <w:rsid w:val="1F100B00"/>
    <w:rsid w:val="4E2268F1"/>
    <w:rsid w:val="57CF18FE"/>
    <w:rsid w:val="6EFF7A7C"/>
    <w:rsid w:val="71DB032D"/>
    <w:rsid w:val="73A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2481</Words>
  <Characters>2512</Characters>
  <Lines>0</Lines>
  <Paragraphs>0</Paragraphs>
  <TotalTime>19</TotalTime>
  <ScaleCrop>false</ScaleCrop>
  <LinksUpToDate>false</LinksUpToDate>
  <CharactersWithSpaces>2519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2022-08-14T15:20:00Z</dcterms:created>
  <dc:creator>will</dc:creator>
  <cp:lastModifiedBy>JUAN</cp:lastModifiedBy>
  <dcterms:modified xsi:type="dcterms:W3CDTF">2023-08-08T07:20:18Z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AFBF8636CF334C6285F5579F7388D60F_13</vt:lpwstr>
  </property>
</Properties>
</file>